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0" w:type="dxa"/>
        <w:shd w:val="clear" w:color="auto" w:fill="AEC9D2"/>
        <w:tblCellMar>
          <w:left w:w="0" w:type="dxa"/>
          <w:right w:w="0" w:type="dxa"/>
        </w:tblCellMar>
        <w:tblLook w:val="04A0" w:firstRow="1" w:lastRow="0" w:firstColumn="1" w:lastColumn="0" w:noHBand="0" w:noVBand="1"/>
      </w:tblPr>
      <w:tblGrid>
        <w:gridCol w:w="6065"/>
        <w:gridCol w:w="2667"/>
        <w:gridCol w:w="90"/>
      </w:tblGrid>
      <w:tr w:rsidR="00343A1D" w:rsidRPr="00343A1D" w:rsidTr="00343A1D">
        <w:trPr>
          <w:trHeight w:val="315"/>
          <w:tblCellSpacing w:w="0" w:type="dxa"/>
        </w:trPr>
        <w:tc>
          <w:tcPr>
            <w:tcW w:w="14025" w:type="dxa"/>
            <w:gridSpan w:val="2"/>
            <w:shd w:val="clear" w:color="auto" w:fill="246DAA"/>
            <w:hideMark/>
          </w:tcPr>
          <w:p w:rsidR="00343A1D" w:rsidRPr="00343A1D" w:rsidRDefault="00343A1D" w:rsidP="00343A1D">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343A1D">
              <w:rPr>
                <w:rFonts w:ascii="Verdana" w:eastAsia="Times New Roman" w:hAnsi="Verdana" w:cs="Times New Roman"/>
                <w:b/>
                <w:bCs/>
                <w:color w:val="CCFFFF"/>
                <w:sz w:val="24"/>
                <w:szCs w:val="24"/>
                <w:lang w:eastAsia="es-AR"/>
              </w:rPr>
              <w:t>La Toma de Conciencia</w:t>
            </w:r>
            <w:r w:rsidRPr="00343A1D">
              <w:rPr>
                <w:rFonts w:ascii="Verdana" w:eastAsia="Times New Roman" w:hAnsi="Verdana" w:cs="Times New Roman"/>
                <w:b/>
                <w:bCs/>
                <w:color w:val="DBE6E8"/>
                <w:sz w:val="24"/>
                <w:szCs w:val="24"/>
                <w:lang w:eastAsia="es-AR"/>
              </w:rPr>
              <w:br/>
              <w:t>Por </w:t>
            </w:r>
            <w:r w:rsidRPr="00343A1D">
              <w:rPr>
                <w:rFonts w:ascii="Verdana" w:eastAsia="Times New Roman" w:hAnsi="Verdana" w:cs="Times New Roman"/>
                <w:b/>
                <w:bCs/>
                <w:color w:val="CCFFFF"/>
                <w:sz w:val="24"/>
                <w:szCs w:val="24"/>
                <w:lang w:eastAsia="es-AR"/>
              </w:rPr>
              <w:t>Jean Piaget</w:t>
            </w:r>
          </w:p>
        </w:tc>
        <w:tc>
          <w:tcPr>
            <w:tcW w:w="75" w:type="dxa"/>
            <w:vMerge w:val="restart"/>
            <w:tcBorders>
              <w:top w:val="single" w:sz="6" w:space="0" w:color="AEC9D2"/>
              <w:right w:val="single" w:sz="6" w:space="0" w:color="AEC9D2"/>
            </w:tcBorders>
            <w:shd w:val="clear" w:color="auto" w:fill="AEC9D2"/>
            <w:vAlign w:val="center"/>
            <w:hideMark/>
          </w:tcPr>
          <w:p w:rsidR="00343A1D" w:rsidRPr="00343A1D" w:rsidRDefault="00343A1D" w:rsidP="00343A1D">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343A1D">
              <w:rPr>
                <w:rFonts w:ascii="Times New Roman" w:eastAsia="Times New Roman" w:hAnsi="Times New Roman" w:cs="Times New Roman"/>
                <w:sz w:val="24"/>
                <w:szCs w:val="24"/>
                <w:lang w:eastAsia="es-AR"/>
              </w:rPr>
              <w:t> </w:t>
            </w:r>
          </w:p>
        </w:tc>
      </w:tr>
      <w:tr w:rsidR="00343A1D" w:rsidRPr="00343A1D" w:rsidTr="00343A1D">
        <w:trPr>
          <w:trHeight w:val="15"/>
          <w:tblCellSpacing w:w="0" w:type="dxa"/>
        </w:trPr>
        <w:tc>
          <w:tcPr>
            <w:tcW w:w="9090" w:type="dxa"/>
            <w:shd w:val="clear" w:color="auto" w:fill="AEC9D2"/>
            <w:hideMark/>
          </w:tcPr>
          <w:p w:rsidR="00343A1D" w:rsidRPr="00343A1D" w:rsidRDefault="00343A1D" w:rsidP="00343A1D">
            <w:pPr>
              <w:spacing w:before="100" w:beforeAutospacing="1" w:after="100" w:afterAutospacing="1" w:line="240" w:lineRule="auto"/>
              <w:rPr>
                <w:rFonts w:ascii="Times New Roman" w:eastAsia="Times New Roman" w:hAnsi="Times New Roman" w:cs="Times New Roman"/>
                <w:sz w:val="24"/>
                <w:szCs w:val="24"/>
                <w:lang w:eastAsia="es-AR"/>
              </w:rPr>
            </w:pPr>
            <w:r w:rsidRPr="00343A1D">
              <w:rPr>
                <w:rFonts w:ascii="Times New Roman" w:eastAsia="Times New Roman" w:hAnsi="Times New Roman" w:cs="Times New Roman"/>
                <w:sz w:val="24"/>
                <w:szCs w:val="24"/>
                <w:lang w:eastAsia="es-AR"/>
              </w:rPr>
              <w:t> </w:t>
            </w:r>
          </w:p>
        </w:tc>
        <w:tc>
          <w:tcPr>
            <w:tcW w:w="780" w:type="dxa"/>
            <w:shd w:val="clear" w:color="auto" w:fill="AEC9D2"/>
            <w:vAlign w:val="center"/>
            <w:hideMark/>
          </w:tcPr>
          <w:p w:rsidR="00343A1D" w:rsidRPr="00343A1D" w:rsidRDefault="00343A1D" w:rsidP="00343A1D">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343A1D">
              <w:rPr>
                <w:rFonts w:ascii="Times New Roman" w:eastAsia="Times New Roman" w:hAnsi="Times New Roman" w:cs="Times New Roman"/>
                <w:sz w:val="24"/>
                <w:szCs w:val="24"/>
                <w:lang w:eastAsia="es-AR"/>
              </w:rPr>
              <w:t> </w:t>
            </w:r>
          </w:p>
        </w:tc>
        <w:tc>
          <w:tcPr>
            <w:tcW w:w="0" w:type="auto"/>
            <w:vMerge/>
            <w:tcBorders>
              <w:top w:val="single" w:sz="6" w:space="0" w:color="AEC9D2"/>
              <w:right w:val="single" w:sz="6" w:space="0" w:color="AEC9D2"/>
            </w:tcBorders>
            <w:shd w:val="clear" w:color="auto" w:fill="AEC9D2"/>
            <w:vAlign w:val="center"/>
            <w:hideMark/>
          </w:tcPr>
          <w:p w:rsidR="00343A1D" w:rsidRPr="00343A1D" w:rsidRDefault="00343A1D" w:rsidP="00343A1D">
            <w:pPr>
              <w:spacing w:after="0" w:line="240" w:lineRule="auto"/>
              <w:rPr>
                <w:rFonts w:ascii="Times New Roman" w:eastAsia="Times New Roman" w:hAnsi="Times New Roman" w:cs="Times New Roman"/>
                <w:sz w:val="24"/>
                <w:szCs w:val="24"/>
                <w:lang w:eastAsia="es-AR"/>
              </w:rPr>
            </w:pPr>
          </w:p>
        </w:tc>
      </w:tr>
      <w:tr w:rsidR="00343A1D" w:rsidRPr="00343A1D" w:rsidTr="00343A1D">
        <w:trPr>
          <w:trHeight w:val="1425"/>
          <w:tblCellSpacing w:w="0" w:type="dxa"/>
        </w:trPr>
        <w:tc>
          <w:tcPr>
            <w:tcW w:w="14115" w:type="dxa"/>
            <w:gridSpan w:val="3"/>
            <w:tcBorders>
              <w:top w:val="single" w:sz="6" w:space="0" w:color="246DAA"/>
              <w:left w:val="single" w:sz="6" w:space="0" w:color="246DAA"/>
              <w:bottom w:val="single" w:sz="6" w:space="0" w:color="246DAA"/>
              <w:right w:val="single" w:sz="6" w:space="0" w:color="246DAA"/>
            </w:tcBorders>
            <w:shd w:val="clear" w:color="auto" w:fill="DBE6E8"/>
            <w:hideMark/>
          </w:tcPr>
          <w:p w:rsidR="00343A1D" w:rsidRPr="00343A1D" w:rsidRDefault="00343A1D" w:rsidP="00343A1D">
            <w:pPr>
              <w:spacing w:before="100" w:beforeAutospacing="1" w:after="120" w:line="240" w:lineRule="auto"/>
              <w:ind w:left="300" w:right="300"/>
              <w:rPr>
                <w:rFonts w:ascii="Times New Roman" w:eastAsia="Times New Roman" w:hAnsi="Times New Roman" w:cs="Times New Roman"/>
                <w:sz w:val="24"/>
                <w:szCs w:val="24"/>
                <w:lang w:eastAsia="es-AR"/>
              </w:rPr>
            </w:pPr>
            <w:r w:rsidRPr="00343A1D">
              <w:rPr>
                <w:rFonts w:ascii="Times New Roman" w:eastAsia="Times New Roman" w:hAnsi="Times New Roman" w:cs="Times New Roman"/>
                <w:sz w:val="24"/>
                <w:szCs w:val="24"/>
                <w:lang w:eastAsia="es-AR"/>
              </w:rPr>
              <w:t> </w:t>
            </w:r>
          </w:p>
          <w:p w:rsidR="00343A1D" w:rsidRPr="00343A1D" w:rsidRDefault="00343A1D" w:rsidP="00343A1D">
            <w:pPr>
              <w:spacing w:before="100" w:beforeAutospacing="1" w:after="120" w:line="240" w:lineRule="auto"/>
              <w:ind w:left="300" w:right="300"/>
              <w:outlineLvl w:val="2"/>
              <w:rPr>
                <w:rFonts w:ascii="Times New Roman" w:eastAsia="Times New Roman" w:hAnsi="Times New Roman" w:cs="Times New Roman"/>
                <w:b/>
                <w:bCs/>
                <w:sz w:val="27"/>
                <w:szCs w:val="27"/>
                <w:lang w:eastAsia="es-AR"/>
              </w:rPr>
            </w:pPr>
            <w:r w:rsidRPr="00343A1D">
              <w:rPr>
                <w:rFonts w:ascii="Verdana" w:eastAsia="Times New Roman" w:hAnsi="Verdana" w:cs="Times New Roman"/>
                <w:b/>
                <w:bCs/>
                <w:sz w:val="20"/>
                <w:szCs w:val="20"/>
                <w:lang w:eastAsia="es-AR"/>
              </w:rPr>
              <w:t>Conclusiones Generales.</w:t>
            </w:r>
          </w:p>
          <w:p w:rsidR="00343A1D" w:rsidRPr="00343A1D" w:rsidRDefault="00343A1D" w:rsidP="00343A1D">
            <w:pPr>
              <w:spacing w:before="100" w:beforeAutospacing="1" w:after="120" w:line="240" w:lineRule="auto"/>
              <w:ind w:left="300" w:right="300"/>
              <w:rPr>
                <w:rFonts w:ascii="Times New Roman" w:eastAsia="Times New Roman" w:hAnsi="Times New Roman" w:cs="Times New Roman"/>
                <w:sz w:val="24"/>
                <w:szCs w:val="24"/>
                <w:lang w:eastAsia="es-AR"/>
              </w:rPr>
            </w:pPr>
            <w:r w:rsidRPr="00343A1D">
              <w:rPr>
                <w:rFonts w:ascii="Verdana" w:eastAsia="Times New Roman" w:hAnsi="Verdana" w:cs="Times New Roman"/>
                <w:sz w:val="20"/>
                <w:szCs w:val="20"/>
                <w:lang w:eastAsia="es-AR"/>
              </w:rPr>
              <w:t>Para el juicio común de los psicólogos, la toma de conciencia sólo consiste en una especie de esclarecimiento que no modifica ni añade nada, sino la visibilidad de lo que ya se había dado antes que se proyectase la luz sobre algo. Freud llega a comparar la conciencia con un "órgano interno de los sentidos", entendiéndose, en su perspectiva, que la sensación se limita a recibir una materia exterior, sin ser susceptible de transformarla. No obstante, nadie ha contribuido más que él a hacernos considerar lo "inconsciente" como un sistema dinámico en actividad continua. Nuestras investigaciones presentes se encaminan a reclamar poderes análogos a favor de la conciencia en sí misma. En efecto, y precisamente en la medida que se desea señalar y conservar las diferencias entre lo inconsciente y la conciencia, es preciso que el paso de lo uno a la otra exija reconstrucciones y no se reduzca, simplemente, a un proceso de esclarecimiento; por eso cada uno de nuestros capítulos ha mostrado que la toma de conciencia de un esquema de acción transforma éste en un concepto, ya que esa toma de conciencia consiste esencialmente en una conceptualización.</w:t>
            </w:r>
          </w:p>
          <w:p w:rsidR="00343A1D" w:rsidRPr="00343A1D" w:rsidRDefault="00343A1D" w:rsidP="00343A1D">
            <w:pPr>
              <w:spacing w:before="100" w:beforeAutospacing="1" w:after="120" w:line="240" w:lineRule="auto"/>
              <w:ind w:left="300" w:right="300"/>
              <w:outlineLvl w:val="2"/>
              <w:rPr>
                <w:rFonts w:ascii="Times New Roman" w:eastAsia="Times New Roman" w:hAnsi="Times New Roman" w:cs="Times New Roman"/>
                <w:b/>
                <w:bCs/>
                <w:sz w:val="27"/>
                <w:szCs w:val="27"/>
                <w:lang w:eastAsia="es-AR"/>
              </w:rPr>
            </w:pPr>
            <w:r w:rsidRPr="00343A1D">
              <w:rPr>
                <w:rFonts w:ascii="Verdana" w:eastAsia="Times New Roman" w:hAnsi="Verdana" w:cs="Times New Roman"/>
                <w:b/>
                <w:bCs/>
                <w:sz w:val="20"/>
                <w:szCs w:val="20"/>
                <w:lang w:eastAsia="es-AR"/>
              </w:rPr>
              <w:t>I. Las razones funcionales de la toma de conciencia.</w:t>
            </w:r>
          </w:p>
          <w:p w:rsidR="00343A1D" w:rsidRPr="00343A1D" w:rsidRDefault="00343A1D" w:rsidP="00343A1D">
            <w:pPr>
              <w:spacing w:before="100" w:beforeAutospacing="1" w:after="120" w:line="240" w:lineRule="auto"/>
              <w:ind w:left="300" w:right="300"/>
              <w:rPr>
                <w:rFonts w:ascii="Times New Roman" w:eastAsia="Times New Roman" w:hAnsi="Times New Roman" w:cs="Times New Roman"/>
                <w:sz w:val="24"/>
                <w:szCs w:val="24"/>
                <w:lang w:eastAsia="es-AR"/>
              </w:rPr>
            </w:pPr>
            <w:r w:rsidRPr="00343A1D">
              <w:rPr>
                <w:rFonts w:ascii="Verdana" w:eastAsia="Times New Roman" w:hAnsi="Verdana" w:cs="Times New Roman"/>
                <w:sz w:val="20"/>
                <w:szCs w:val="20"/>
                <w:lang w:eastAsia="es-AR"/>
              </w:rPr>
              <w:t>Mas si hay ahí un comienzo de respuesta a la cuestión del "cómo", demasiado descuidada en cuanto a la toma de conciencia (incluso cuando, con razón, se hace depender de los procesos psicológicos de la "vigilancia"), subsiste el problema del "porqué", es decir, de las razones funcionales que desencadenan su constitución. Acerca de esto, ya CLAPAREDE había aportado una contribución interesante, relativa a la conciencia de la semejanza y las diferencias entre objetos, mostrando que los pequeñuelos, a la edad en que generalizan a ultranza, adquieren antes conciencia de los caracteres diferenciales que de las similitudes: serían, pues, los factores de desadaptación los que ocasionarían la toma de conciencia mientras que ésta continuaría siendo inútil cuando el funcionamiento (aquí, las generalizaciones fundadas en la semejanza) se adaptase normalmente.</w:t>
            </w:r>
            <w:r w:rsidRPr="00343A1D">
              <w:rPr>
                <w:rFonts w:ascii="Verdana" w:eastAsia="Times New Roman" w:hAnsi="Verdana" w:cs="Times New Roman"/>
                <w:sz w:val="20"/>
                <w:szCs w:val="20"/>
                <w:lang w:eastAsia="es-AR"/>
              </w:rPr>
              <w:br/>
            </w:r>
            <w:r w:rsidRPr="00343A1D">
              <w:rPr>
                <w:rFonts w:ascii="Verdana" w:eastAsia="Times New Roman" w:hAnsi="Verdana" w:cs="Times New Roman"/>
                <w:sz w:val="20"/>
                <w:szCs w:val="20"/>
                <w:lang w:eastAsia="es-AR"/>
              </w:rPr>
              <w:br/>
              <w:t xml:space="preserve">Esa observación de CLARAPADE entraña una gran parte de verdad; pero creemos útil, cuando se trata efectivamente de desadaptaciones, completarla haciendo intervenir el mecanismo de las regulaciones: en tales casos, lo que desencadena la toma de conciencia es - lo hemos visto incesamentemente- el hecho de que las regulaciones automáticas (por correcciones parciales, en negativo o en positivo, de medios ya en acción) no bastan ya: e importa entonces buscar nuevos medios para un reglaje más activo, y, en consecuencia, fuente de elecciones deliberadas, lo que supone la conciencia. Hay pues, en eso la desadaptación; pero el mismo proceso activo o automático) de las readaptaciones es tan importante como ella. Por otra parte, ese papel de las regulaciones demuestra que la toma de conciencia está lejos de sólo constituirse con ocasión de tales desadaptacioens. Hemos comprobado, por ejemplo, la formación de tomas de conciencia tardías, pero nomenos efectivas, en los casos </w:t>
            </w:r>
            <w:r w:rsidRPr="00343A1D">
              <w:rPr>
                <w:rFonts w:ascii="Verdana" w:eastAsia="Times New Roman" w:hAnsi="Verdana" w:cs="Times New Roman"/>
                <w:sz w:val="20"/>
                <w:szCs w:val="20"/>
                <w:lang w:eastAsia="es-AR"/>
              </w:rPr>
              <w:lastRenderedPageBreak/>
              <w:t>de andar a gatas (capítulo II), sin que intervengan ninguna desadaptación en tales acciones. </w:t>
            </w:r>
            <w:r w:rsidRPr="00343A1D">
              <w:rPr>
                <w:rFonts w:ascii="Verdana" w:eastAsia="Times New Roman" w:hAnsi="Verdana" w:cs="Times New Roman"/>
                <w:sz w:val="20"/>
                <w:szCs w:val="20"/>
                <w:lang w:eastAsia="es-AR"/>
              </w:rPr>
              <w:br/>
            </w:r>
            <w:r w:rsidRPr="00343A1D">
              <w:rPr>
                <w:rFonts w:ascii="Verdana" w:eastAsia="Times New Roman" w:hAnsi="Verdana" w:cs="Times New Roman"/>
                <w:sz w:val="20"/>
                <w:szCs w:val="20"/>
                <w:lang w:eastAsia="es-AR"/>
              </w:rPr>
              <w:br/>
              <w:t>Más aún: cuantas veces el sujeto se propone alcanzar un nuevo objetivo, es consciente, haya sido su logro inmediato o espués de varias tentativas; no se puede sostener que la elección (o incluso la aceptación por sugestión) de un objetivo nuevo sea, necesariamente, el indicio de una desadaptación. Conviene, pues, situar las razones funcionales de la toma de conciencia en un contexto más amplio que el de las desadaptaciones, pero que comprenda a éstas como el caso particular no descuidable. Situándonos primeramente en el punto de vista de la acción materia, para pasar seguidamente al pensamiento como interiorización de los actos, la ley general que parece resultar de los hechos estudiados es que la toma de conciencia va de la periferia al centro, si se definen tales términos en función del recorrido de un comportamiento dado. Este comienza, efectivamente, por la persecución de un fin; de ahí los dos observables iniciales que podemos denominar periféricos como unidos al desencadenamiento y al punto de aplicación de la acción: la conciencia del objetivo a alcanzar, o dicho de otro modo, de la intención como dirección global del acto, y la toma de conciencia de su terminación en fracaso o acierto. Más precisamente, no definiremos la periferia por el objeto ni por el sujeto, sino por la reacción más inmediata y exterior del sujeto frente al objeto: utilizarlo según un fin (lo que, para el observador, significa asimilar ese objeto a un esquema anterior) y tomar nota del resultado obtenido. </w:t>
            </w:r>
            <w:r w:rsidRPr="00343A1D">
              <w:rPr>
                <w:rFonts w:ascii="Verdana" w:eastAsia="Times New Roman" w:hAnsi="Verdana" w:cs="Times New Roman"/>
                <w:sz w:val="20"/>
                <w:szCs w:val="20"/>
                <w:lang w:eastAsia="es-AR"/>
              </w:rPr>
              <w:br/>
            </w:r>
            <w:r w:rsidRPr="00343A1D">
              <w:rPr>
                <w:rFonts w:ascii="Verdana" w:eastAsia="Times New Roman" w:hAnsi="Verdana" w:cs="Times New Roman"/>
                <w:sz w:val="20"/>
                <w:szCs w:val="20"/>
                <w:lang w:eastAsia="es-AR"/>
              </w:rPr>
              <w:br/>
              <w:t>Estos dos términos son conscientes en toda acción intencional, mientras que el hecho de que el esquema asignador de un fin a la acción desencadene inmediatamente la puesta en marcha de los medios más o menos apropiados, puede continuar siendo insconscientes (como l demuestran las múltiples situaciones estudiadas en esta obra, en la que el niño ha logrado su finalidad sin saber como ha procedido). Diremos, entonces, que la toma de conciencia, que parte de la periferia (objetivos y resultados), se orienta hacia las regiones centrales de la acción cuando trata de alcanzar el mecanismo interno de esta: reconocimiento de los medios empleados, razones de su elección o de su modificación durante el ejercicio, etc. Pero ¿por qué ese vocabulario de "periferia" y "centro", cuando si el resultado de la acción es, seguramente, periférico con relación al sujeto, el hecho de asignar un fin a esa acción implica mayoría de factores internos, aunque esté, en parte, condicionado por la naturaleza del objeto? </w:t>
            </w:r>
            <w:r w:rsidRPr="00343A1D">
              <w:rPr>
                <w:rFonts w:ascii="Verdana" w:eastAsia="Times New Roman" w:hAnsi="Verdana" w:cs="Times New Roman"/>
                <w:sz w:val="20"/>
                <w:szCs w:val="20"/>
                <w:lang w:eastAsia="es-AR"/>
              </w:rPr>
              <w:br/>
            </w:r>
            <w:r w:rsidRPr="00343A1D">
              <w:rPr>
                <w:rFonts w:ascii="Verdana" w:eastAsia="Times New Roman" w:hAnsi="Verdana" w:cs="Times New Roman"/>
                <w:sz w:val="20"/>
                <w:szCs w:val="20"/>
                <w:lang w:eastAsia="es-AR"/>
              </w:rPr>
              <w:br/>
              <w:t>Hay hay dos razones. La primera es que esos factores internos escapan precisamente, por lo pronto, a la conciencia del sujeto. La segunda, muy general, es que, ateniéndonos a las reacciones de éste, el conocimiento parte no del sujeto ni del objeto, sino de la interacción entre los dos; es decir, del pinto (P) de la figura, punto que es efectivamente periférico con relación tanto al sujeto (S) como al objeto (O). De allí, la toma de conciencia se orienta hacia los mecanismos centrales C de la acción del sujeto, mientras que la toma de conocimiento del objeto se orienta hacia sus propiedades intrínsecas ( y, en ese sentido, igualmente centrales C'), y no ya superficiales, aunque aún relativas a las acciones del sujeto. Ahora bien, como veremos después, los pasos cognitivos hacia C' y hacia C son siempre correlativos, y esa solidaridad constituye la ley esencial de la comprensión de los objetos, como la conceptualización de las acciones.</w:t>
            </w:r>
          </w:p>
          <w:p w:rsidR="00343A1D" w:rsidRPr="00343A1D" w:rsidRDefault="00343A1D" w:rsidP="00343A1D">
            <w:pPr>
              <w:spacing w:before="100" w:beforeAutospacing="1" w:after="120" w:line="240" w:lineRule="auto"/>
              <w:ind w:left="300" w:right="300"/>
              <w:jc w:val="center"/>
              <w:rPr>
                <w:rFonts w:ascii="Times New Roman" w:eastAsia="Times New Roman" w:hAnsi="Times New Roman" w:cs="Times New Roman"/>
                <w:sz w:val="24"/>
                <w:szCs w:val="24"/>
                <w:lang w:eastAsia="es-AR"/>
              </w:rPr>
            </w:pPr>
            <w:r w:rsidRPr="00343A1D">
              <w:rPr>
                <w:rFonts w:ascii="Verdana" w:eastAsia="Times New Roman" w:hAnsi="Verdana" w:cs="Times New Roman"/>
                <w:sz w:val="20"/>
                <w:szCs w:val="20"/>
                <w:lang w:eastAsia="es-AR"/>
              </w:rPr>
              <w:lastRenderedPageBreak/>
              <w:t>Imagen 1 </w:t>
            </w:r>
            <w:r w:rsidRPr="00343A1D">
              <w:rPr>
                <w:rFonts w:ascii="Verdana" w:eastAsia="Times New Roman" w:hAnsi="Verdana" w:cs="Times New Roman"/>
                <w:noProof/>
                <w:sz w:val="20"/>
                <w:szCs w:val="20"/>
                <w:lang w:eastAsia="es-AR"/>
              </w:rPr>
              <w:drawing>
                <wp:inline distT="0" distB="0" distL="0" distR="0">
                  <wp:extent cx="3114675" cy="657225"/>
                  <wp:effectExtent l="0" t="0" r="9525" b="9525"/>
                  <wp:docPr id="1" name="Imagen 1" descr="http://www.catedras.fsoc.uba.ar/salvia/Biblio/catedra/series/Pj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tedras.fsoc.uba.ar/salvia/Biblio/catedra/series/Pjt-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4675" cy="657225"/>
                          </a:xfrm>
                          <a:prstGeom prst="rect">
                            <a:avLst/>
                          </a:prstGeom>
                          <a:noFill/>
                          <a:ln>
                            <a:noFill/>
                          </a:ln>
                        </pic:spPr>
                      </pic:pic>
                    </a:graphicData>
                  </a:graphic>
                </wp:inline>
              </w:drawing>
            </w:r>
          </w:p>
          <w:p w:rsidR="00343A1D" w:rsidRPr="00343A1D" w:rsidRDefault="00343A1D" w:rsidP="00343A1D">
            <w:pPr>
              <w:spacing w:before="100" w:beforeAutospacing="1" w:after="120" w:line="240" w:lineRule="auto"/>
              <w:ind w:left="300" w:right="300"/>
              <w:rPr>
                <w:rFonts w:ascii="Times New Roman" w:eastAsia="Times New Roman" w:hAnsi="Times New Roman" w:cs="Times New Roman"/>
                <w:sz w:val="24"/>
                <w:szCs w:val="24"/>
                <w:lang w:eastAsia="es-AR"/>
              </w:rPr>
            </w:pPr>
            <w:r w:rsidRPr="00343A1D">
              <w:rPr>
                <w:rFonts w:ascii="Verdana" w:eastAsia="Times New Roman" w:hAnsi="Verdana" w:cs="Times New Roman"/>
                <w:sz w:val="20"/>
                <w:szCs w:val="20"/>
                <w:lang w:eastAsia="es-AR"/>
              </w:rPr>
              <w:t>Pero, previamente, tratemos de proseguir el análisis de las razones funcionales de la toma de conciencia de acción propia. Esta parte, pues, de la persecución de un objetivo; de ahí la comprobación (consciente) de un acierto o de un fracaso. En caso de este último, se trata de establecer por qué se ha producido, y eso lleva a la toma de conciencia de regiones más centrales de la acción: partiendo de lo observable en el objeto (resultado fallido), el sujeto buscará en qué puntos ha tenido falta de acomodación del esquema al objeto, y, a partir del observable de la acción (su finalidad o dirección global) dedicará su atención a los medios empleados, sus correcciones o eventuales cambios. Así, por un vaivén entre el objeto y la acción, la toma de conciencia se aproxima por etapas de mecanismos internos del acto y se extiende, pues de la periferia P al centro C. </w:t>
            </w:r>
            <w:r w:rsidRPr="00343A1D">
              <w:rPr>
                <w:rFonts w:ascii="Verdana" w:eastAsia="Times New Roman" w:hAnsi="Verdana" w:cs="Times New Roman"/>
                <w:sz w:val="20"/>
                <w:szCs w:val="20"/>
                <w:lang w:eastAsia="es-AR"/>
              </w:rPr>
              <w:br/>
            </w:r>
            <w:r w:rsidRPr="00343A1D">
              <w:rPr>
                <w:rFonts w:ascii="Verdana" w:eastAsia="Times New Roman" w:hAnsi="Verdana" w:cs="Times New Roman"/>
                <w:sz w:val="20"/>
                <w:szCs w:val="20"/>
                <w:lang w:eastAsia="es-AR"/>
              </w:rPr>
              <w:br/>
              <w:t>En tales casos se verifica el análisis de CLARAPADE sobre las relaciones entre la toma de conciencia y la desadaptación; pero tenemos que añadir ahora el porqué de esas relaciones es, precisamente, que las desadaptaciones se producen en la periferia P de la acción, lo que imprime a la conciencia de ésta una dirección centrípeta en C, a la vez que orientada hacia la comprensión del objeto en C'. Además, hemos de consignar (capítulo I) que una toma de conciencia se constituye incluso sin ninguna desadaptación o, dicho de otro modo, aunque el objetivo inicial de la acción se haya conseguido sin ningún fracaso. En este último caso, si el progreso de la conciencia no depende ya de las dificultades de la acción, sólo puede proceder del proceso asimilador en sí. Señalarse un fin frente al objeto es ya asimilar a éste a un esquema práctico, y, en la medida en que el objetivo y el resultado del acto proporcionan toma de conciencia, aun permaneciendo generalizables en acciones, el esquema se convierte en concepto, y la asimilación se hace representativa, es decir, susceptible de evocaciones en extensión. </w:t>
            </w:r>
            <w:r w:rsidRPr="00343A1D">
              <w:rPr>
                <w:rFonts w:ascii="Verdana" w:eastAsia="Times New Roman" w:hAnsi="Verdana" w:cs="Times New Roman"/>
                <w:sz w:val="20"/>
                <w:szCs w:val="20"/>
                <w:lang w:eastAsia="es-AR"/>
              </w:rPr>
              <w:br/>
            </w:r>
            <w:r w:rsidRPr="00343A1D">
              <w:rPr>
                <w:rFonts w:ascii="Verdana" w:eastAsia="Times New Roman" w:hAnsi="Verdana" w:cs="Times New Roman"/>
                <w:sz w:val="20"/>
                <w:szCs w:val="20"/>
                <w:lang w:eastAsia="es-AR"/>
              </w:rPr>
              <w:br/>
              <w:t>En consecuencia, tan pronto como son comparadas las situaciones distintas, surgen inevitablemente los problemas: ¿por qué tal objeto es más utilizado que otro? ¿ por qué una variación en los medios es más eficaz o menos?, etc. En tales casos, el proceso asimilador, promovido al rango de instrumentos de comprensión (véase, después, el apartado I), recaera, simultáneamente, en los objetos y en las acciones según un vaivén continuo entre las dos clases de observables, y no hay razón alguna para que el mecanismo de las tomas de conciencia de la acción, ya que ésta depende de aquella y recíprocamente. Esto no quiere decir que las desadaptaciones (¿por qué tal medio ensayado es infructuoso?) no desempeñen ya un papel; pero esto no es sólo momentáneo o local, y los problemas positivos (el porqué de los aciertos) resultan lo esencial con el reglaje activo dentro de los titubeos: el carácter inevitable de la necesidad de una explicación causal no podría, efectivamente, quedar reservado al solo dominio de los objetos, ya que éstos únicamente son conocidos a través de las acciones. </w:t>
            </w:r>
            <w:r w:rsidRPr="00343A1D">
              <w:rPr>
                <w:rFonts w:ascii="Verdana" w:eastAsia="Times New Roman" w:hAnsi="Verdana" w:cs="Times New Roman"/>
                <w:sz w:val="20"/>
                <w:szCs w:val="20"/>
                <w:lang w:eastAsia="es-AR"/>
              </w:rPr>
              <w:br/>
            </w:r>
            <w:r w:rsidRPr="00343A1D">
              <w:rPr>
                <w:rFonts w:ascii="Verdana" w:eastAsia="Times New Roman" w:hAnsi="Verdana" w:cs="Times New Roman"/>
                <w:sz w:val="20"/>
                <w:szCs w:val="20"/>
                <w:lang w:eastAsia="es-AR"/>
              </w:rPr>
              <w:br/>
              <w:t xml:space="preserve">En un apalabra: la ley de la dirección de la periferia (P) a los centros (C y C') no podría limitarse a la toma de conciencia de la acción material, puesto que a ese </w:t>
            </w:r>
            <w:r w:rsidRPr="00343A1D">
              <w:rPr>
                <w:rFonts w:ascii="Verdana" w:eastAsia="Times New Roman" w:hAnsi="Verdana" w:cs="Times New Roman"/>
                <w:sz w:val="20"/>
                <w:szCs w:val="20"/>
                <w:lang w:eastAsia="es-AR"/>
              </w:rPr>
              <w:lastRenderedPageBreak/>
              <w:t>nivel inicial hay ya paso a la conciencia del fin (así como del resultado) a la de los medios, esta interiorización de la acción conduce por eso mismo, en el plano de la acción reflejada a una conciencia de los problemas que se han de resolver, y de ahí, a la de los medios cognitivos (no ya materiales) empleados para resolverlos. Esto lo hemos advertido muchas veces cuando se le pregunta al niño cómo ha llegado a descubrir tal o cual procedimiento: mientras que los muchachos se limitan a relatar sus acciones sucesivas (e incluso a reproducirlas con gestos y sin palabras), emplean luego expresiones tales como "ha visto que...", "me he dicho entonces..." o "he encontrado la idea...", etc.</w:t>
            </w:r>
          </w:p>
          <w:p w:rsidR="00343A1D" w:rsidRPr="00343A1D" w:rsidRDefault="00343A1D" w:rsidP="00343A1D">
            <w:pPr>
              <w:spacing w:before="100" w:beforeAutospacing="1" w:after="120" w:line="240" w:lineRule="auto"/>
              <w:ind w:left="300" w:right="300"/>
              <w:outlineLvl w:val="2"/>
              <w:rPr>
                <w:rFonts w:ascii="Times New Roman" w:eastAsia="Times New Roman" w:hAnsi="Times New Roman" w:cs="Times New Roman"/>
                <w:b/>
                <w:bCs/>
                <w:sz w:val="27"/>
                <w:szCs w:val="27"/>
                <w:lang w:eastAsia="es-AR"/>
              </w:rPr>
            </w:pPr>
            <w:r w:rsidRPr="00343A1D">
              <w:rPr>
                <w:rFonts w:ascii="Verdana" w:eastAsia="Times New Roman" w:hAnsi="Verdana" w:cs="Times New Roman"/>
                <w:b/>
                <w:bCs/>
                <w:sz w:val="20"/>
                <w:szCs w:val="20"/>
                <w:lang w:eastAsia="es-AR"/>
              </w:rPr>
              <w:t>II. El mecanismo de la toma de conciencia.</w:t>
            </w:r>
          </w:p>
          <w:p w:rsidR="00343A1D" w:rsidRPr="00343A1D" w:rsidRDefault="00343A1D" w:rsidP="00343A1D">
            <w:pPr>
              <w:spacing w:before="100" w:beforeAutospacing="1" w:after="120" w:line="240" w:lineRule="auto"/>
              <w:ind w:left="300" w:right="300"/>
              <w:rPr>
                <w:rFonts w:ascii="Times New Roman" w:eastAsia="Times New Roman" w:hAnsi="Times New Roman" w:cs="Times New Roman"/>
                <w:sz w:val="24"/>
                <w:szCs w:val="24"/>
                <w:lang w:eastAsia="es-AR"/>
              </w:rPr>
            </w:pPr>
            <w:r w:rsidRPr="00343A1D">
              <w:rPr>
                <w:rFonts w:ascii="Verdana" w:eastAsia="Times New Roman" w:hAnsi="Verdana" w:cs="Times New Roman"/>
                <w:sz w:val="20"/>
                <w:szCs w:val="20"/>
                <w:lang w:eastAsia="es-AR"/>
              </w:rPr>
              <w:t>Si se pasa del "porqué" o razones funcionales de la toma de conciencia, a su "cómo", es decir, al mecanismo que hace conscientes los elementos inconscientes hasta entonces, resulta que ese proceso no se reduce, en modo alguno, a un sencillo esclarecimiento que los haga perceptibles sin por ello modificarlos, sino que consiste - desde el principio- en una conceptualización propiamente dicha, o sea, en un paso de la asimilación práctica (asimilación del objeto a un esquema) a una asimilación por conceptos. Han sido múltiples las pruebas en apoyo de esta interpretación, y lo esencial de ellas viene a demostrar que cuanto más permanece el sujeto en las reacciones elementales, más deforma conceptualmente las observables, en lugar de captarlas sin modificaciones. Un ejemplo típico, a ese respecto, es el de la honda (Capítulo II), en el que los muchachos, aun sabiendo lanzar muy bien el proyectil de modo tangencial, creen haberlo lanzado frente al objetivo. </w:t>
            </w:r>
            <w:r w:rsidRPr="00343A1D">
              <w:rPr>
                <w:rFonts w:ascii="Verdana" w:eastAsia="Times New Roman" w:hAnsi="Verdana" w:cs="Times New Roman"/>
                <w:sz w:val="20"/>
                <w:szCs w:val="20"/>
                <w:lang w:eastAsia="es-AR"/>
              </w:rPr>
              <w:br/>
            </w:r>
            <w:r w:rsidRPr="00343A1D">
              <w:rPr>
                <w:rFonts w:ascii="Verdana" w:eastAsia="Times New Roman" w:hAnsi="Verdana" w:cs="Times New Roman"/>
                <w:sz w:val="20"/>
                <w:szCs w:val="20"/>
                <w:lang w:eastAsia="es-AR"/>
              </w:rPr>
              <w:br/>
              <w:t>Se trata aquí pues, de la lectura de un observable, ya que se le pide al niño que "vuelva a empezar y que mire bien". No cabría , en consecuencia, ver en esas deformaciones el producto de una sencilla previsión, es decir, de una inferencia antes de la comprobación: la hay, y constantemente, pero deformada por una inferencia, lo cual es muy distinto. En cambio, podría objetarse que esa deformación inferencial (incluso limitándola a ese caso particular) no constituye un carácter de la toma de conciencia como tal, sino que resulta, como persistencia residual, dela propia inconsecuencia testimoniada anteriormente por el sujeto acerca de los medios empleados por él para alcanzar su objetivo; antes que se le pregunte dónde ha lanzado la bola, no se planteaba, en modo alguno, tal cuestión. Esta posible objeción suscita entonces, un problema interesante, en cuanto a las relaciones entre la conciencia y lo inconsciente, cognitivo, durante el proceso de la toma de conciencia en sí. </w:t>
            </w:r>
            <w:r w:rsidRPr="00343A1D">
              <w:rPr>
                <w:rFonts w:ascii="Verdana" w:eastAsia="Times New Roman" w:hAnsi="Verdana" w:cs="Times New Roman"/>
                <w:sz w:val="20"/>
                <w:szCs w:val="20"/>
                <w:lang w:eastAsia="es-AR"/>
              </w:rPr>
              <w:br/>
            </w:r>
            <w:r w:rsidRPr="00343A1D">
              <w:rPr>
                <w:rFonts w:ascii="Verdana" w:eastAsia="Times New Roman" w:hAnsi="Verdana" w:cs="Times New Roman"/>
                <w:sz w:val="20"/>
                <w:szCs w:val="20"/>
                <w:lang w:eastAsia="es-AR"/>
              </w:rPr>
              <w:br/>
              <w:t xml:space="preserve">Digamos, ante todo, que los comienzos de la toma de conciencia no se señalan siempre por deformaciones tan netas de las que se tratan aquí. Por ejemplo, en lo que concierne al desligamiento de una ficha por un plano inclinado (Capítulo IV), los sujetos del nivel IA no se dan cuenta de que ellos imprimen cada vez un movimiento de bajada a la ficha, incluso si ésta sigue un trayecto oblicuo o acordado; pero cuando, seguidamente, advierten el carácter general de esta condición, observada al principio en el plano de la acción material, la toma de conciencia ulterior se efectúa sin deformaciones, porque nada parece contradictorio en la idea de tal descenso. Verdaderamente, es algo dificultoso asegurar la representación por una composición de las inclinaciones longitudinales y laterales del cartón, y esa dificultad explica el por qué la bajada no es advertida inmediatamente (desde el nivel IA), sino longitudinalmente; pero se trata entonces de un retraso de la conceptualización respecto de la </w:t>
            </w:r>
            <w:r w:rsidRPr="00343A1D">
              <w:rPr>
                <w:rFonts w:ascii="Verdana" w:eastAsia="Times New Roman" w:hAnsi="Verdana" w:cs="Times New Roman"/>
                <w:sz w:val="20"/>
                <w:szCs w:val="20"/>
                <w:lang w:eastAsia="es-AR"/>
              </w:rPr>
              <w:lastRenderedPageBreak/>
              <w:t>acción, y no de una contradicción de principios; de ahí la ausencia de deformación. Por lo contrario, en el caso de la honda, si se halla una análoga dificultad (componer el movimiento inicial de rotación del proyectil con su lanzamiento a la caja y llegar sí a la representación de un trayecto tangencial, es decir, oblicuo) se añade la idea de que no es normal, e incluso contradictorio, querer lanzar un sólido a una caja sin lanzarlo frente a ella (esto es: de forma perpendicular y no oblicua). De estos dos hechos, representativos de muchos otros, puede deducirse cierto número de conclusiones en cuanto al "como" de la toma de conciencia: </w:t>
            </w:r>
            <w:r w:rsidRPr="00343A1D">
              <w:rPr>
                <w:rFonts w:ascii="Verdana" w:eastAsia="Times New Roman" w:hAnsi="Verdana" w:cs="Times New Roman"/>
                <w:sz w:val="20"/>
                <w:szCs w:val="20"/>
                <w:lang w:eastAsia="es-AR"/>
              </w:rPr>
              <w:br/>
            </w:r>
            <w:r w:rsidRPr="00343A1D">
              <w:rPr>
                <w:rFonts w:ascii="Verdana" w:eastAsia="Times New Roman" w:hAnsi="Verdana" w:cs="Times New Roman"/>
                <w:sz w:val="20"/>
                <w:szCs w:val="20"/>
                <w:lang w:eastAsia="es-AR"/>
              </w:rPr>
              <w:br/>
              <w:t>a) Esta supone, desde el principio, una conceptualización (entre la rotación y el lanzamiento en el caso de la honda, y entre las inclinaciones laterales y longitudinales en el de la bajada).</w:t>
            </w:r>
            <w:r w:rsidRPr="00343A1D">
              <w:rPr>
                <w:rFonts w:ascii="Verdana" w:eastAsia="Times New Roman" w:hAnsi="Verdana" w:cs="Times New Roman"/>
                <w:sz w:val="20"/>
                <w:szCs w:val="20"/>
                <w:lang w:eastAsia="es-AR"/>
              </w:rPr>
              <w:br/>
            </w:r>
            <w:r w:rsidRPr="00343A1D">
              <w:rPr>
                <w:rFonts w:ascii="Verdana" w:eastAsia="Times New Roman" w:hAnsi="Verdana" w:cs="Times New Roman"/>
                <w:sz w:val="20"/>
                <w:szCs w:val="20"/>
                <w:lang w:eastAsia="es-AR"/>
              </w:rPr>
              <w:br/>
              <w:t>b) Si la toma de conciencia pudiese reducirse a un sencillo esclarecimiento, tales coordinaciones no necesitarían ninguna nueva construcción, ya que están realizadas en el plano de la propia acción material, es decir, al "saber hacer" por oposición al "concebir"; le bastaría, entonces, a la conciencia, si no fuese más que un espejo, reflejar objetivamente lo que son los movimientos de la propia acción, inconscientes hasta allí, para obtener una "representación" (en el más directo sentido) de las coordinaciones que efectúan ya.</w:t>
            </w:r>
            <w:r w:rsidRPr="00343A1D">
              <w:rPr>
                <w:rFonts w:ascii="Verdana" w:eastAsia="Times New Roman" w:hAnsi="Verdana" w:cs="Times New Roman"/>
                <w:sz w:val="20"/>
                <w:szCs w:val="20"/>
                <w:lang w:eastAsia="es-AR"/>
              </w:rPr>
              <w:br/>
            </w:r>
            <w:r w:rsidRPr="00343A1D">
              <w:rPr>
                <w:rFonts w:ascii="Verdana" w:eastAsia="Times New Roman" w:hAnsi="Verdana" w:cs="Times New Roman"/>
                <w:sz w:val="20"/>
                <w:szCs w:val="20"/>
                <w:lang w:eastAsia="es-AR"/>
              </w:rPr>
              <w:br/>
              <w:t>c) En cambio, las acciones de los sujetos son consideradas por ellos, y asimiladas, más o menos adecuadamente por su conciencia, como si se tratase de relaciones materiales cualesquiera situadas en los objetos: de ahí la necesidad de una construcción conceptual nueva, para darse cuenta de ello: realmente, sólo se trata entonces de una reconstrucción, pero tan laboriosa como si no correspondiese a nada de lo ya conocido por el propio sujeto y que presenta los mismos riesgos de omisiones y deformaciones, como si la cuestión consistiera en explicarse un sistema exterior de conexiones físicas.</w:t>
            </w:r>
            <w:r w:rsidRPr="00343A1D">
              <w:rPr>
                <w:rFonts w:ascii="Verdana" w:eastAsia="Times New Roman" w:hAnsi="Verdana" w:cs="Times New Roman"/>
                <w:sz w:val="20"/>
                <w:szCs w:val="20"/>
                <w:lang w:eastAsia="es-AR"/>
              </w:rPr>
              <w:br/>
            </w:r>
            <w:r w:rsidRPr="00343A1D">
              <w:rPr>
                <w:rFonts w:ascii="Verdana" w:eastAsia="Times New Roman" w:hAnsi="Verdana" w:cs="Times New Roman"/>
                <w:sz w:val="20"/>
                <w:szCs w:val="20"/>
                <w:lang w:eastAsia="es-AR"/>
              </w:rPr>
              <w:br/>
              <w:t>d) En el caso de la bajada por un plano inclinado, la construcción es sencilla, ya que consiste en coordinaciones espaciales entre dos direcciones (a lo largo del plano rectangular y de lado), pero sin conflictos con los esquemas anteriores: la toma de conciencia sólo hace entonces una pequeña composición progresiva. </w:t>
            </w:r>
            <w:r w:rsidRPr="00343A1D">
              <w:rPr>
                <w:rFonts w:ascii="Verdana" w:eastAsia="Times New Roman" w:hAnsi="Verdana" w:cs="Times New Roman"/>
                <w:sz w:val="20"/>
                <w:szCs w:val="20"/>
                <w:lang w:eastAsia="es-AR"/>
              </w:rPr>
              <w:br/>
            </w:r>
            <w:r w:rsidRPr="00343A1D">
              <w:rPr>
                <w:rFonts w:ascii="Verdana" w:eastAsia="Times New Roman" w:hAnsi="Verdana" w:cs="Times New Roman"/>
                <w:sz w:val="20"/>
                <w:szCs w:val="20"/>
                <w:lang w:eastAsia="es-AR"/>
              </w:rPr>
              <w:br/>
              <w:t>e) En el caso de la honda, y otros similares, se añade en cambio, el problema de la composición espacial (necesario para la comprensión de la salida tangencial del proyectil), un conflicto entre esta construcción y un esquema (consciente) anterior, que lleva al sujeto a creer que para lanzar una bola a una caja hay que mirarla y colocarse frente a ésta. En tal caso, para comprender el movimiento oblicuo del proyectil con respecto a la caja (con lanzar tranquilamente al círculo descrito por él en seguida) se trata de corregir primero el esquema anterior, y admitir si un lanzamiento perpendicular a la caja facilita el acierto, no es el único posible, y que es aceptable un trayecto oblicuo. </w:t>
            </w:r>
            <w:r w:rsidRPr="00343A1D">
              <w:rPr>
                <w:rFonts w:ascii="Verdana" w:eastAsia="Times New Roman" w:hAnsi="Verdana" w:cs="Times New Roman"/>
                <w:sz w:val="20"/>
                <w:szCs w:val="20"/>
                <w:lang w:eastAsia="es-AR"/>
              </w:rPr>
              <w:br/>
            </w:r>
            <w:r w:rsidRPr="00343A1D">
              <w:rPr>
                <w:rFonts w:ascii="Verdana" w:eastAsia="Times New Roman" w:hAnsi="Verdana" w:cs="Times New Roman"/>
                <w:sz w:val="20"/>
                <w:szCs w:val="20"/>
                <w:lang w:eastAsia="es-AR"/>
              </w:rPr>
              <w:br/>
              <w:t xml:space="preserve">f) Pero antes de llegar a corregir ese esquema anterior, consciente y arraigado, hay un a solución más económica al nivel IA: deformar sencillamente los observables y "retrotaer" (si así puede decirse) el origen del conflicto. Desde el punto de vista afectivo, hay retroceso cuando u deseo inconsciente se muestra en contradicción con un sistema consciente; por ejemplo, el "superyo" y sus imperativos; de ahí que el deseo inconsciente, sin que por ello quede suprimido, no aflore a la conciencia. En el caso particular del proceso cognitivo, el </w:t>
            </w:r>
            <w:r w:rsidRPr="00343A1D">
              <w:rPr>
                <w:rFonts w:ascii="Verdana" w:eastAsia="Times New Roman" w:hAnsi="Verdana" w:cs="Times New Roman"/>
                <w:sz w:val="20"/>
                <w:szCs w:val="20"/>
                <w:lang w:eastAsia="es-AR"/>
              </w:rPr>
              <w:lastRenderedPageBreak/>
              <w:t>fenómeno es análogo, aunque mucho más limitado; el hecho de lanzar en la acción real, el proyectil, según un trayecto tangencial contradictoria al esquema de lanzarlo frente al objetivo, hace que el sujeto se niegue a aceptar o percibir el observable molesto, y cree, de buena fe haberlo lanzado frente a la caja. </w:t>
            </w:r>
            <w:r w:rsidRPr="00343A1D">
              <w:rPr>
                <w:rFonts w:ascii="Verdana" w:eastAsia="Times New Roman" w:hAnsi="Verdana" w:cs="Times New Roman"/>
                <w:sz w:val="20"/>
                <w:szCs w:val="20"/>
                <w:lang w:eastAsia="es-AR"/>
              </w:rPr>
              <w:br/>
            </w:r>
            <w:r w:rsidRPr="00343A1D">
              <w:rPr>
                <w:rFonts w:ascii="Verdana" w:eastAsia="Times New Roman" w:hAnsi="Verdana" w:cs="Times New Roman"/>
                <w:sz w:val="20"/>
                <w:szCs w:val="20"/>
                <w:lang w:eastAsia="es-AR"/>
              </w:rPr>
              <w:br/>
              <w:t>g) El hecho es bastante general en casos de conflictos en esa índole, y se encuentra igualmente en la interpretación de observables físicos independientes de la acción propia: habiendo previsto erróneamente un acontecimiento contrario a una creencia tenaz (por ejemplo, que un intermediario realmente inmóvil se desplace inoportunamente, para transmitir un movimiento) el sujeto niega el observable inesperado y cree poder comprobar los hechos como los habían anticipado. Ahora bien: el interés de la situación que actualmente discutimos es que, en tales casos, el observable rechazado no es un hecho físico exterior al sujeto, sino perteneciente a su propia acción y por tanto, conocido por él, solamente en actos inconscientes y no en su conciente conceptualización. La analogía con los datos físicos no estimados es muy sorprendente, como si la toma de conciencia procediese como un modo cualquiera de una toma de conocimiento. </w:t>
            </w:r>
            <w:r w:rsidRPr="00343A1D">
              <w:rPr>
                <w:rFonts w:ascii="Verdana" w:eastAsia="Times New Roman" w:hAnsi="Verdana" w:cs="Times New Roman"/>
                <w:sz w:val="20"/>
                <w:szCs w:val="20"/>
                <w:lang w:eastAsia="es-AR"/>
              </w:rPr>
              <w:br/>
            </w:r>
            <w:r w:rsidRPr="00343A1D">
              <w:rPr>
                <w:rFonts w:ascii="Verdana" w:eastAsia="Times New Roman" w:hAnsi="Verdana" w:cs="Times New Roman"/>
                <w:sz w:val="20"/>
                <w:szCs w:val="20"/>
                <w:lang w:eastAsia="es-AR"/>
              </w:rPr>
              <w:br/>
              <w:t>h) En el caso de toma de conciencia, la contradicción provoca el "retroceso" no hay que localizarlo en la acción no consciente, ya que logra la coordinación motora sin problema, es decir, sin cuidarse de lanzar el proyectil frente al objetivo(salvo en ensayos iniciales, rápidamente superados por regulación automática). No se asienta ya en la conciencia del sujeto, ya que éste no toma conciencia del lanzamiento tangencial (como si se formara en un momento dado esa hipótesis para rechazarla seguidamente, a causa de su conflicto con la idea previa de lanzar frente al objetivo). Por otra parte, al oír sus expresiones, vemos que el sujeto no percibe la contradicción. Nos queda aún pues, sólo situarla en el mismo proceso de la conceptualización que caracteriza la toma de conciencia; pero entonces se plantea el problema de establecer cuál es el grado de conciencia atestiguado por ese progreso como tal, por oposición a la acción no consciente de salida y la conciencia final que ha tomado de su acción el sujeto. </w:t>
            </w:r>
            <w:r w:rsidRPr="00343A1D">
              <w:rPr>
                <w:rFonts w:ascii="Verdana" w:eastAsia="Times New Roman" w:hAnsi="Verdana" w:cs="Times New Roman"/>
                <w:sz w:val="20"/>
                <w:szCs w:val="20"/>
                <w:lang w:eastAsia="es-AR"/>
              </w:rPr>
              <w:br/>
            </w:r>
            <w:r w:rsidRPr="00343A1D">
              <w:rPr>
                <w:rFonts w:ascii="Verdana" w:eastAsia="Times New Roman" w:hAnsi="Verdana" w:cs="Times New Roman"/>
                <w:sz w:val="20"/>
                <w:szCs w:val="20"/>
                <w:lang w:eastAsia="es-AR"/>
              </w:rPr>
              <w:br/>
              <w:t>i) Precisamente, la cuestión general consiste en saber si hemos de admitir grados de conciencia. Porque hay tres clases de circunstancias de naturaleza capaz de hacer plausible tal hipótesis. La primera es que entre la acción de acierto precoz (lanzamiento tangencial u otros éxitos análogos) y los comienzos erróneos de la toma de conciencia ( la idea de haber lanzado el proyectil frente a objetivo) hay intermedios, en la forma de esos "compromisos" ya señalados por INHELDER, SINCLAIR y BOVET, respecto a las contradicciones que han observado en los conflictos durante los procesos de aprendizaje: el sujeto dice haber lanzado el proyectil no de frente ni de modo tangencial, sino entre ambas posiciones, lo que parece mostrar la existencia de una conciencia incompleta de la acción. En segundo lugar, es dudoso que una acción que acierta después de regulaciones automáticas sea totalmente inconsciente, aunque el éxito fuese precoz. En tercer lugar, la conceptualización en sí constituye, como acabamos de recordar, un proceso propiamente dicho, ya que no es inmediata, y si hay un proceso, su grado de conciencia debe variar.</w:t>
            </w:r>
            <w:r w:rsidRPr="00343A1D">
              <w:rPr>
                <w:rFonts w:ascii="Verdana" w:eastAsia="Times New Roman" w:hAnsi="Verdana" w:cs="Times New Roman"/>
                <w:sz w:val="20"/>
                <w:szCs w:val="20"/>
                <w:lang w:eastAsia="es-AR"/>
              </w:rPr>
              <w:br/>
            </w:r>
            <w:r w:rsidRPr="00343A1D">
              <w:rPr>
                <w:rFonts w:ascii="Verdana" w:eastAsia="Times New Roman" w:hAnsi="Verdana" w:cs="Times New Roman"/>
                <w:sz w:val="20"/>
                <w:szCs w:val="20"/>
                <w:lang w:eastAsia="es-AR"/>
              </w:rPr>
              <w:br/>
              <w:t xml:space="preserve">j) Sólo vemos entonces una posible interpretación de esos grados de conciencia: que sean función de diferentes grados de integración. Por ejemplo: lo que se designa con la palabra de "subcepción" y que se define como una "percepción inconsciente", podría muy bien acompañarse de cierta conciencia en el momento </w:t>
            </w:r>
            <w:r w:rsidRPr="00343A1D">
              <w:rPr>
                <w:rFonts w:ascii="Verdana" w:eastAsia="Times New Roman" w:hAnsi="Verdana" w:cs="Times New Roman"/>
                <w:sz w:val="20"/>
                <w:szCs w:val="20"/>
                <w:lang w:eastAsia="es-AR"/>
              </w:rPr>
              <w:lastRenderedPageBreak/>
              <w:t>que se produce, pero continuando siendo momentánea, en el sentido de que no sería integrada en los estados siguientes . En el caso de las acciones logradas precozmente, pero con toma de conciencia mucho más tardía, resultaría difícil, inclusive concebir que el sujeto se haya atenido a un conocimiento exclusivo de los fines y los resultados, sin ninguna conciencia de los medios empleados ni de su regulación. Ahora bien: como esa conquista y esas correcciones sucesivas de los medios se han efectuado paulatinamente los estados momentáneos de conciencia fugaz que han podido caracterizarlos no habrían dado lugar a ninguna integración conceptual o representativa y el sistema obtenido seguiría siendo senso-motor. De igual modo, en los casos de compromisos aludidos en i), se trata más bien de grados de integración que de pasos bruscos de la insconsciencia a la conciencia.</w:t>
            </w:r>
            <w:r w:rsidRPr="00343A1D">
              <w:rPr>
                <w:rFonts w:ascii="Verdana" w:eastAsia="Times New Roman" w:hAnsi="Verdana" w:cs="Times New Roman"/>
                <w:sz w:val="20"/>
                <w:szCs w:val="20"/>
                <w:lang w:eastAsia="es-AR"/>
              </w:rPr>
              <w:br/>
            </w:r>
            <w:r w:rsidRPr="00343A1D">
              <w:rPr>
                <w:rFonts w:ascii="Verdana" w:eastAsia="Times New Roman" w:hAnsi="Verdana" w:cs="Times New Roman"/>
                <w:sz w:val="20"/>
                <w:szCs w:val="20"/>
                <w:lang w:eastAsia="es-AR"/>
              </w:rPr>
              <w:br/>
              <w:t>k) En suma: el mecanismo de la toma de conciencia aparece en todos esos aspectos como un proceso de conceptualización, que reconstruye y luego sobrepasa, en el plano de semiotización y de la representación, lo que se había adquirido en el de los esquemas de acción. En tal perspectiva, no hay pues, diferencia de naturaleza entre la toma de conciencia de la acción propia y la toma de conocimiento de las secuencias exteriores al sujeto, implicando las dos una elaboración gradual de nociones a partir de un dato, éste consiste en aspectos materiales de la acción ejecutada por el sujeto o de las acciones que se efectúan entre los objetos.</w:t>
            </w:r>
          </w:p>
        </w:tc>
      </w:tr>
    </w:tbl>
    <w:p w:rsidR="00591761" w:rsidRDefault="00343A1D">
      <w:bookmarkStart w:id="0" w:name="_GoBack"/>
      <w:bookmarkEnd w:id="0"/>
    </w:p>
    <w:sectPr w:rsidR="005917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1D"/>
    <w:rsid w:val="00343A1D"/>
    <w:rsid w:val="004C7654"/>
    <w:rsid w:val="004F0AC7"/>
    <w:rsid w:val="005A761C"/>
    <w:rsid w:val="00885E2F"/>
    <w:rsid w:val="00A948AC"/>
    <w:rsid w:val="00E110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B8AF5-B924-4F60-99BD-76F98269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343A1D"/>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43A1D"/>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343A1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343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00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3447</Words>
  <Characters>18961</Characters>
  <Application>Microsoft Office Word</Application>
  <DocSecurity>0</DocSecurity>
  <Lines>158</Lines>
  <Paragraphs>44</Paragraphs>
  <ScaleCrop>false</ScaleCrop>
  <Company/>
  <LinksUpToDate>false</LinksUpToDate>
  <CharactersWithSpaces>22364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dc:creator>
  <cp:keywords/>
  <dc:description/>
  <cp:lastModifiedBy>Diego</cp:lastModifiedBy>
  <cp:revision>1</cp:revision>
  <dcterms:created xsi:type="dcterms:W3CDTF">2014-04-11T19:06:00Z</dcterms:created>
  <dcterms:modified xsi:type="dcterms:W3CDTF">2014-04-11T19:06:00Z</dcterms:modified>
</cp:coreProperties>
</file>